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F6D1" w14:textId="77777777" w:rsidR="004403A6" w:rsidRPr="00DE0EFB" w:rsidRDefault="00000000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DE0EFB">
        <w:object w:dxaOrig="2186" w:dyaOrig="890" w14:anchorId="1CF6F693">
          <v:rect id="rectole0000000000" o:spid="_x0000_i1025" style="width:109.5pt;height:44.25pt" o:ole="" o:preferrelative="t" stroked="f">
            <v:imagedata r:id="rId5" o:title=""/>
          </v:rect>
          <o:OLEObject Type="Embed" ProgID="StaticMetafile" ShapeID="rectole0000000000" DrawAspect="Content" ObjectID="_1764593940" r:id="rId6"/>
        </w:object>
      </w:r>
    </w:p>
    <w:p w14:paraId="7BAC9E11" w14:textId="77777777" w:rsidR="004403A6" w:rsidRPr="00DE0EFB" w:rsidRDefault="00000000">
      <w:pPr>
        <w:suppressAutoHyphens/>
        <w:spacing w:before="143" w:after="0" w:line="240" w:lineRule="auto"/>
        <w:ind w:left="20"/>
        <w:rPr>
          <w:rFonts w:ascii="Arial" w:eastAsia="Arial" w:hAnsi="Arial" w:cs="Arial"/>
          <w:color w:val="000000"/>
          <w:sz w:val="28"/>
        </w:rPr>
      </w:pPr>
      <w:r w:rsidRPr="00DE0EFB">
        <w:rPr>
          <w:rFonts w:ascii="Arial" w:eastAsia="Arial" w:hAnsi="Arial" w:cs="Arial"/>
          <w:color w:val="000000"/>
          <w:sz w:val="28"/>
        </w:rPr>
        <w:t xml:space="preserve">Development Statement of Work for ERP/Inventory Integration and Support </w:t>
      </w:r>
    </w:p>
    <w:p w14:paraId="2838F2D4" w14:textId="5D140B63" w:rsidR="004403A6" w:rsidRPr="00DE0EFB" w:rsidRDefault="00000000">
      <w:pPr>
        <w:suppressAutoHyphens/>
        <w:spacing w:before="213" w:after="0" w:line="240" w:lineRule="auto"/>
        <w:ind w:right="577" w:firstLine="20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This Statement of Work (SOW) is effective </w:t>
      </w:r>
      <w:r w:rsidR="00DE0EFB">
        <w:rPr>
          <w:rFonts w:ascii="Times New Roman" w:eastAsia="Times New Roman" w:hAnsi="Times New Roman" w:cs="Times New Roman"/>
          <w:color w:val="000000"/>
          <w:sz w:val="24"/>
        </w:rPr>
        <w:t xml:space="preserve">date 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>between WipeOS LLC (“Company” or “WipeOS”) and</w:t>
      </w:r>
      <w:r w:rsidRPr="00DE0EF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DE0EFB">
        <w:rPr>
          <w:rFonts w:ascii="Times New Roman" w:eastAsia="Times New Roman" w:hAnsi="Times New Roman" w:cs="Times New Roman"/>
          <w:sz w:val="24"/>
        </w:rPr>
        <w:t xml:space="preserve">XXX 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gramEnd"/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Customer”). Any term not otherwise defined herein shall have no effect. </w:t>
      </w:r>
    </w:p>
    <w:p w14:paraId="2BC88436" w14:textId="77777777" w:rsidR="004403A6" w:rsidRPr="00DE0EFB" w:rsidRDefault="00000000">
      <w:pPr>
        <w:suppressAutoHyphens/>
        <w:spacing w:before="248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WipeOS Manager - </w:t>
      </w:r>
      <w:r w:rsidRPr="00DE0EFB">
        <w:rPr>
          <w:rFonts w:ascii="Times New Roman" w:eastAsia="Times New Roman" w:hAnsi="Times New Roman" w:cs="Times New Roman"/>
          <w:sz w:val="24"/>
        </w:rPr>
        <w:t xml:space="preserve">Todd Walters 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/ Drew Heal </w:t>
      </w:r>
    </w:p>
    <w:p w14:paraId="4684D340" w14:textId="27887591" w:rsidR="004403A6" w:rsidRPr="00DE0EFB" w:rsidRDefault="00000000">
      <w:pPr>
        <w:suppressAutoHyphens/>
        <w:spacing w:after="0" w:line="240" w:lineRule="auto"/>
        <w:ind w:left="727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Technical </w:t>
      </w:r>
      <w:r w:rsidR="00DE0EFB"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>onsultant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: Mitchell Dokken </w:t>
      </w:r>
    </w:p>
    <w:p w14:paraId="70A90A99" w14:textId="77777777" w:rsidR="004403A6" w:rsidRPr="00DE0EFB" w:rsidRDefault="00000000">
      <w:pPr>
        <w:suppressAutoHyphens/>
        <w:spacing w:before="221" w:after="0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I. Summary of Services: </w:t>
      </w:r>
    </w:p>
    <w:p w14:paraId="2008934F" w14:textId="41C62F34" w:rsidR="004403A6" w:rsidRPr="00DE0EFB" w:rsidRDefault="00000000">
      <w:pPr>
        <w:suppressAutoHyphens/>
        <w:spacing w:before="211" w:after="0" w:line="240" w:lineRule="auto"/>
        <w:ind w:left="7" w:right="351" w:firstLine="9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>WipeOS will provide integration assistance</w:t>
      </w:r>
      <w:r w:rsidR="00DE0EFB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which will allow CUSTOMER’s inventory data to be synchronized into the </w:t>
      </w:r>
      <w:proofErr w:type="gramStart"/>
      <w:r w:rsidR="00DE0EFB">
        <w:rPr>
          <w:rFonts w:ascii="Times New Roman" w:eastAsia="Times New Roman" w:hAnsi="Times New Roman" w:cs="Times New Roman"/>
          <w:color w:val="000000"/>
          <w:sz w:val="24"/>
        </w:rPr>
        <w:t xml:space="preserve">XXX </w:t>
      </w:r>
      <w:r w:rsidRPr="00DE0EFB">
        <w:rPr>
          <w:rFonts w:ascii="Times New Roman" w:eastAsia="Times New Roman" w:hAnsi="Times New Roman" w:cs="Times New Roman"/>
          <w:sz w:val="24"/>
        </w:rPr>
        <w:t xml:space="preserve"> ERP</w:t>
      </w:r>
      <w:proofErr w:type="gramEnd"/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system. WipeOS will configure the information gathered from the CUSTOMER’s machines in which WipeOS software has been installed. To effectively set up the structure CUSTOMER must provide the information highlighted below: </w:t>
      </w:r>
    </w:p>
    <w:p w14:paraId="0407FDC4" w14:textId="77777777" w:rsidR="004403A6" w:rsidRPr="00DE0EFB" w:rsidRDefault="00000000">
      <w:pPr>
        <w:suppressAutoHyphens/>
        <w:spacing w:before="248" w:after="0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Requirements: </w:t>
      </w:r>
    </w:p>
    <w:p w14:paraId="419F074B" w14:textId="3573C8B7" w:rsidR="004403A6" w:rsidRPr="00DE0EFB" w:rsidRDefault="00000000" w:rsidP="00DE0EFB">
      <w:pPr>
        <w:pStyle w:val="ListParagraph"/>
        <w:numPr>
          <w:ilvl w:val="0"/>
          <w:numId w:val="1"/>
        </w:numPr>
        <w:suppressAutoHyphens/>
        <w:spacing w:before="314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An API key for secure communication between the WipeOS Appliance and </w:t>
      </w:r>
      <w:r w:rsidRPr="00DE0EFB">
        <w:rPr>
          <w:rFonts w:ascii="Times New Roman" w:eastAsia="Times New Roman" w:hAnsi="Times New Roman" w:cs="Times New Roman"/>
          <w:sz w:val="24"/>
        </w:rPr>
        <w:t>Razor ERP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0CE79FD7" w14:textId="77777777" w:rsidR="004403A6" w:rsidRPr="00DE0EFB" w:rsidRDefault="00000000">
      <w:pPr>
        <w:suppressAutoHyphens/>
        <w:spacing w:before="242" w:after="0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Timeline </w:t>
      </w:r>
    </w:p>
    <w:p w14:paraId="2CEBBB8C" w14:textId="2E4F0C44" w:rsidR="004403A6" w:rsidRPr="00DE0EFB" w:rsidRDefault="00000000" w:rsidP="00DE0EFB">
      <w:pPr>
        <w:pStyle w:val="ListParagraph"/>
        <w:numPr>
          <w:ilvl w:val="0"/>
          <w:numId w:val="1"/>
        </w:numPr>
        <w:suppressAutoHyphens/>
        <w:spacing w:before="226"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Customer understands there is a limit for time invested from WipeOS. This will not exceed 10 hours of initial setup and configuration. If it </w:t>
      </w:r>
      <w:r w:rsidR="00DE0EFB">
        <w:rPr>
          <w:rFonts w:ascii="Times New Roman" w:eastAsia="Times New Roman" w:hAnsi="Times New Roman" w:cs="Times New Roman"/>
          <w:color w:val="000000"/>
          <w:sz w:val="24"/>
        </w:rPr>
        <w:t>exceeds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that time, we </w:t>
      </w:r>
      <w:r w:rsidR="00DE0EFB">
        <w:rPr>
          <w:rFonts w:ascii="Times New Roman" w:eastAsia="Times New Roman" w:hAnsi="Times New Roman" w:cs="Times New Roman"/>
          <w:color w:val="000000"/>
          <w:sz w:val="24"/>
        </w:rPr>
        <w:t>must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start charging our hourly rate to expedite completion. </w:t>
      </w:r>
    </w:p>
    <w:p w14:paraId="6A86A56D" w14:textId="07BDED22" w:rsidR="004403A6" w:rsidRPr="00DE0EFB" w:rsidRDefault="00DE0EFB" w:rsidP="00DE0EFB">
      <w:pPr>
        <w:pStyle w:val="ListParagraph"/>
        <w:numPr>
          <w:ilvl w:val="0"/>
          <w:numId w:val="1"/>
        </w:numPr>
        <w:suppressAutoHyphens/>
        <w:spacing w:before="245" w:after="0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>The delivery</w:t>
      </w:r>
      <w:r w:rsidR="00000000"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timeline </w:t>
      </w:r>
      <w:r>
        <w:rPr>
          <w:rFonts w:ascii="Times New Roman" w:eastAsia="Times New Roman" w:hAnsi="Times New Roman" w:cs="Times New Roman"/>
          <w:color w:val="000000"/>
          <w:sz w:val="24"/>
        </w:rPr>
        <w:t>heavily depends</w:t>
      </w:r>
      <w:r w:rsidR="00000000"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on access to the above data and the continual flow of information between both parties</w:t>
      </w:r>
      <w:r>
        <w:rPr>
          <w:rFonts w:ascii="Times New Roman" w:eastAsia="Times New Roman" w:hAnsi="Times New Roman" w:cs="Times New Roman"/>
          <w:color w:val="000000"/>
          <w:sz w:val="24"/>
        </w:rPr>
        <w:t>; as</w:t>
      </w:r>
      <w:r w:rsidR="00000000"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such, it is difficult to provide an exact delivery schedule. </w:t>
      </w:r>
    </w:p>
    <w:p w14:paraId="4A852FF2" w14:textId="2E238437" w:rsidR="004403A6" w:rsidRPr="00DE0EFB" w:rsidRDefault="00000000" w:rsidP="00DE0EFB">
      <w:pPr>
        <w:pStyle w:val="ListParagraph"/>
        <w:numPr>
          <w:ilvl w:val="0"/>
          <w:numId w:val="1"/>
        </w:numPr>
        <w:suppressAutoHyphens/>
        <w:spacing w:before="245" w:after="0"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>For directional planning purposes</w:t>
      </w:r>
      <w:r w:rsidR="00DE0EFB" w:rsidRPr="00DE0EFB">
        <w:rPr>
          <w:rFonts w:ascii="Times New Roman" w:eastAsia="Times New Roman" w:hAnsi="Times New Roman" w:cs="Times New Roman"/>
          <w:color w:val="000000"/>
          <w:sz w:val="24"/>
        </w:rPr>
        <w:t>, allow 2 weeks for initial integration once all required data has been received,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with an additional week for any follow-up testing and data refinement. </w:t>
      </w:r>
    </w:p>
    <w:p w14:paraId="728D3F96" w14:textId="77777777" w:rsidR="004403A6" w:rsidRPr="00DE0EFB" w:rsidRDefault="00000000">
      <w:pPr>
        <w:suppressAutoHyphens/>
        <w:spacing w:before="240" w:after="0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IV. Term: </w:t>
      </w:r>
    </w:p>
    <w:p w14:paraId="2FCD542E" w14:textId="77777777" w:rsidR="004403A6" w:rsidRPr="00DE0EFB" w:rsidRDefault="00000000">
      <w:pPr>
        <w:suppressAutoHyphens/>
        <w:spacing w:before="221"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The term is thirty (30) days from the signed date of this SOW. </w:t>
      </w:r>
    </w:p>
    <w:p w14:paraId="732337C2" w14:textId="7561BC19" w:rsidR="004403A6" w:rsidRPr="00DE0EFB" w:rsidRDefault="00000000">
      <w:pPr>
        <w:suppressAutoHyphens/>
        <w:spacing w:before="211" w:after="0" w:line="240" w:lineRule="auto"/>
        <w:ind w:left="15" w:right="851" w:hanging="14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V. Fees: 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>This is a firm-fixed-price engagement with WipeOS</w:t>
      </w:r>
      <w:r w:rsidR="00DE0EFB">
        <w:rPr>
          <w:rFonts w:ascii="Times New Roman" w:eastAsia="Times New Roman" w:hAnsi="Times New Roman" w:cs="Times New Roman"/>
          <w:color w:val="000000"/>
          <w:sz w:val="24"/>
        </w:rPr>
        <w:t>; any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additional costs incurred for hardware or software development </w:t>
      </w:r>
      <w:r w:rsidR="00DE0EFB">
        <w:rPr>
          <w:rFonts w:ascii="Times New Roman" w:eastAsia="Times New Roman" w:hAnsi="Times New Roman" w:cs="Times New Roman"/>
          <w:color w:val="000000"/>
          <w:sz w:val="24"/>
        </w:rPr>
        <w:t>are omitted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herein. </w:t>
      </w:r>
    </w:p>
    <w:p w14:paraId="291EFF85" w14:textId="77777777" w:rsidR="004403A6" w:rsidRPr="00DE0EFB" w:rsidRDefault="004403A6">
      <w:pPr>
        <w:suppressAutoHyphens/>
        <w:spacing w:before="653" w:after="0" w:line="240" w:lineRule="auto"/>
        <w:jc w:val="center"/>
        <w:rPr>
          <w:rFonts w:ascii="Arial" w:eastAsia="Arial" w:hAnsi="Arial" w:cs="Arial"/>
        </w:rPr>
      </w:pPr>
    </w:p>
    <w:p w14:paraId="253D567A" w14:textId="77777777" w:rsidR="004403A6" w:rsidRPr="00DE0EFB" w:rsidRDefault="004403A6">
      <w:pPr>
        <w:suppressAutoHyphens/>
        <w:spacing w:before="653" w:after="0" w:line="240" w:lineRule="auto"/>
        <w:jc w:val="center"/>
        <w:rPr>
          <w:rFonts w:ascii="Arial" w:eastAsia="Arial" w:hAnsi="Arial" w:cs="Arial"/>
        </w:rPr>
      </w:pPr>
    </w:p>
    <w:p w14:paraId="3D2B52E6" w14:textId="77777777" w:rsidR="004403A6" w:rsidRPr="00DE0EFB" w:rsidRDefault="00000000">
      <w:pPr>
        <w:suppressAutoHyphens/>
        <w:spacing w:before="653" w:after="0" w:line="240" w:lineRule="auto"/>
        <w:jc w:val="center"/>
        <w:rPr>
          <w:rFonts w:ascii="Arial" w:eastAsia="Arial" w:hAnsi="Arial" w:cs="Arial"/>
        </w:rPr>
      </w:pPr>
      <w:r w:rsidRPr="00DE0EFB">
        <w:rPr>
          <w:rFonts w:ascii="Arial" w:eastAsia="Arial" w:hAnsi="Arial" w:cs="Arial"/>
        </w:rPr>
        <w:t>1</w:t>
      </w:r>
    </w:p>
    <w:p w14:paraId="42180D75" w14:textId="77777777" w:rsidR="004403A6" w:rsidRPr="00DE0EFB" w:rsidRDefault="004403A6">
      <w:pPr>
        <w:suppressAutoHyphens/>
        <w:spacing w:before="653" w:after="0" w:line="240" w:lineRule="auto"/>
        <w:jc w:val="center"/>
        <w:rPr>
          <w:rFonts w:ascii="Arial" w:eastAsia="Arial" w:hAnsi="Arial" w:cs="Arial"/>
        </w:rPr>
      </w:pPr>
    </w:p>
    <w:p w14:paraId="2FC91B6B" w14:textId="77777777" w:rsidR="004403A6" w:rsidRPr="00DE0EFB" w:rsidRDefault="00000000">
      <w:pPr>
        <w:suppressAutoHyphens/>
        <w:spacing w:after="0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Professional Services for Integration and Support Rates </w:t>
      </w:r>
    </w:p>
    <w:tbl>
      <w:tblPr>
        <w:tblW w:w="0" w:type="auto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0"/>
        <w:gridCol w:w="1622"/>
      </w:tblGrid>
      <w:tr w:rsidR="004403A6" w:rsidRPr="00DE0EFB" w14:paraId="0F4BD48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12DB083" w14:textId="77777777" w:rsidR="004403A6" w:rsidRPr="00DE0EFB" w:rsidRDefault="00000000">
            <w:pPr>
              <w:suppressAutoHyphens/>
              <w:spacing w:after="0" w:line="240" w:lineRule="auto"/>
              <w:ind w:left="284"/>
            </w:pPr>
            <w:r w:rsidRPr="00DE0EF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Project Description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0D966DB" w14:textId="77777777" w:rsidR="004403A6" w:rsidRPr="00DE0EFB" w:rsidRDefault="00000000">
            <w:pPr>
              <w:suppressAutoHyphens/>
              <w:spacing w:after="0" w:line="240" w:lineRule="auto"/>
              <w:jc w:val="center"/>
            </w:pPr>
            <w:r w:rsidRPr="00DE0EF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Price</w:t>
            </w:r>
          </w:p>
        </w:tc>
      </w:tr>
      <w:tr w:rsidR="004403A6" w:rsidRPr="00DE0EFB" w14:paraId="0C7AF41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B24E0E9" w14:textId="4B2FE105" w:rsidR="004403A6" w:rsidRPr="00DE0EFB" w:rsidRDefault="00000000">
            <w:pPr>
              <w:suppressAutoHyphens/>
              <w:spacing w:after="0" w:line="240" w:lineRule="auto"/>
              <w:ind w:left="284"/>
            </w:pPr>
            <w:r w:rsidRPr="00DE0EFB">
              <w:rPr>
                <w:rFonts w:ascii="Times New Roman" w:eastAsia="Times New Roman" w:hAnsi="Times New Roman" w:cs="Times New Roman"/>
                <w:color w:val="080D12"/>
                <w:sz w:val="24"/>
              </w:rPr>
              <w:t xml:space="preserve">Initial ERP Setup - This includes </w:t>
            </w:r>
            <w:r w:rsidR="00DE0EFB">
              <w:rPr>
                <w:rFonts w:ascii="Times New Roman" w:eastAsia="Times New Roman" w:hAnsi="Times New Roman" w:cs="Times New Roman"/>
                <w:color w:val="080D12"/>
                <w:sz w:val="24"/>
              </w:rPr>
              <w:t>10</w:t>
            </w:r>
            <w:r w:rsidRPr="00DE0EFB">
              <w:rPr>
                <w:rFonts w:ascii="Times New Roman" w:eastAsia="Times New Roman" w:hAnsi="Times New Roman" w:cs="Times New Roman"/>
                <w:color w:val="080D12"/>
                <w:sz w:val="24"/>
              </w:rPr>
              <w:t xml:space="preserve"> hrs. of dedicated integration effort.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0D52862" w14:textId="77777777" w:rsidR="004403A6" w:rsidRPr="00DE0EFB" w:rsidRDefault="00000000">
            <w:pPr>
              <w:suppressAutoHyphens/>
              <w:spacing w:after="0" w:line="240" w:lineRule="auto"/>
              <w:jc w:val="center"/>
            </w:pPr>
            <w:r w:rsidRPr="00DE0EFB">
              <w:rPr>
                <w:rFonts w:ascii="Times New Roman" w:eastAsia="Times New Roman" w:hAnsi="Times New Roman" w:cs="Times New Roman"/>
                <w:color w:val="000000"/>
                <w:sz w:val="24"/>
              </w:rPr>
              <w:t>$</w:t>
            </w:r>
            <w:r w:rsidRPr="00DE0EF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403A6" w:rsidRPr="00DE0EFB" w14:paraId="5B36478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3F2206B" w14:textId="417A073D" w:rsidR="004403A6" w:rsidRPr="00DE0EFB" w:rsidRDefault="00000000">
            <w:pPr>
              <w:suppressAutoHyphens/>
              <w:spacing w:after="0" w:line="240" w:lineRule="auto"/>
              <w:ind w:left="287"/>
            </w:pPr>
            <w:r w:rsidRPr="00DE0EFB">
              <w:rPr>
                <w:rFonts w:ascii="Times New Roman" w:eastAsia="Times New Roman" w:hAnsi="Times New Roman" w:cs="Times New Roman"/>
                <w:color w:val="080D12"/>
                <w:sz w:val="24"/>
              </w:rPr>
              <w:t xml:space="preserve">Custom integration- Discounted $45.00 </w:t>
            </w:r>
            <w:r w:rsidR="00DE0EFB">
              <w:rPr>
                <w:rFonts w:ascii="Times New Roman" w:eastAsia="Times New Roman" w:hAnsi="Times New Roman" w:cs="Times New Roman"/>
                <w:color w:val="080D12"/>
                <w:sz w:val="24"/>
              </w:rPr>
              <w:t xml:space="preserve">per </w:t>
            </w:r>
            <w:r w:rsidRPr="00DE0EFB">
              <w:rPr>
                <w:rFonts w:ascii="Times New Roman" w:eastAsia="Times New Roman" w:hAnsi="Times New Roman" w:cs="Times New Roman"/>
                <w:color w:val="080D12"/>
                <w:sz w:val="24"/>
              </w:rPr>
              <w:t xml:space="preserve">hour from $150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AD291F5" w14:textId="3F94C2C4" w:rsidR="004403A6" w:rsidRPr="00DE0EFB" w:rsidRDefault="00DE0EF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000000" w:rsidRPr="00DE0EFB">
              <w:rPr>
                <w:rFonts w:ascii="Times New Roman" w:eastAsia="Times New Roman" w:hAnsi="Times New Roman" w:cs="Times New Roman"/>
                <w:color w:val="000000"/>
                <w:sz w:val="24"/>
              </w:rPr>
              <w:t>/hr.</w:t>
            </w:r>
          </w:p>
        </w:tc>
      </w:tr>
      <w:tr w:rsidR="004403A6" w:rsidRPr="00DE0EFB" w14:paraId="41099AF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C622875" w14:textId="77777777" w:rsidR="004403A6" w:rsidRPr="00DE0EFB" w:rsidRDefault="00000000">
            <w:pPr>
              <w:suppressAutoHyphens/>
              <w:spacing w:after="0" w:line="240" w:lineRule="auto"/>
              <w:ind w:left="276"/>
            </w:pPr>
            <w:r w:rsidRPr="00DE0EFB">
              <w:rPr>
                <w:rFonts w:ascii="Times New Roman" w:eastAsia="Times New Roman" w:hAnsi="Times New Roman" w:cs="Times New Roman"/>
                <w:color w:val="080D12"/>
                <w:sz w:val="24"/>
              </w:rPr>
              <w:t xml:space="preserve">Net Cost for Professional Services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CB6EF5C" w14:textId="42EC1995" w:rsidR="004403A6" w:rsidRPr="00DE0EFB" w:rsidRDefault="00DE0EFB">
            <w:pPr>
              <w:suppressAutoHyphens/>
              <w:spacing w:after="0" w:line="240" w:lineRule="auto"/>
              <w:jc w:val="center"/>
            </w:pPr>
            <w:r w:rsidRPr="00DE0EFB">
              <w:rPr>
                <w:rFonts w:ascii="Times New Roman" w:eastAsia="Times New Roman" w:hAnsi="Times New Roman" w:cs="Times New Roman"/>
                <w:color w:val="000000"/>
                <w:sz w:val="24"/>
              </w:rPr>
              <w:t>$</w:t>
            </w:r>
            <w:r w:rsidRPr="00DE0EF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403A6" w:rsidRPr="00DE0EFB" w14:paraId="5B51D02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B3AB8" w14:textId="77777777" w:rsidR="004403A6" w:rsidRPr="00DE0EFB" w:rsidRDefault="004403A6">
            <w:pPr>
              <w:suppressAutoHyphens/>
              <w:spacing w:after="0" w:line="240" w:lineRule="auto"/>
              <w:ind w:left="313"/>
              <w:rPr>
                <w:rFonts w:ascii="Calibri" w:eastAsia="Calibri" w:hAnsi="Calibri" w:cs="Calibri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0586CC7" w14:textId="77777777" w:rsidR="004403A6" w:rsidRPr="00DE0EFB" w:rsidRDefault="004403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03A6" w:rsidRPr="00DE0EFB" w14:paraId="6AEAFA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CAB5B68" w14:textId="77777777" w:rsidR="004403A6" w:rsidRPr="00DE0EFB" w:rsidRDefault="00000000">
            <w:pPr>
              <w:suppressAutoHyphens/>
              <w:spacing w:after="0" w:line="240" w:lineRule="auto"/>
              <w:ind w:left="317"/>
            </w:pPr>
            <w:r w:rsidRPr="00DE0EFB">
              <w:rPr>
                <w:rFonts w:ascii="Times New Roman" w:eastAsia="Times New Roman" w:hAnsi="Times New Roman" w:cs="Times New Roman"/>
                <w:b/>
                <w:color w:val="080D12"/>
                <w:sz w:val="24"/>
              </w:rPr>
              <w:t xml:space="preserve">Total Cost for Professional Services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DE9AF2" w14:textId="77777777" w:rsidR="004403A6" w:rsidRPr="00DE0EFB" w:rsidRDefault="00000000">
            <w:pPr>
              <w:suppressAutoHyphens/>
              <w:spacing w:after="0" w:line="240" w:lineRule="auto"/>
              <w:jc w:val="center"/>
            </w:pPr>
            <w:r w:rsidRPr="00DE0EFB">
              <w:rPr>
                <w:rFonts w:ascii="Times New Roman" w:eastAsia="Times New Roman" w:hAnsi="Times New Roman" w:cs="Times New Roman"/>
                <w:b/>
                <w:color w:val="080D12"/>
                <w:sz w:val="24"/>
              </w:rPr>
              <w:t>$0.00</w:t>
            </w:r>
          </w:p>
        </w:tc>
      </w:tr>
      <w:tr w:rsidR="004403A6" w:rsidRPr="00DE0EFB" w14:paraId="7715F9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39D9541" w14:textId="77777777" w:rsidR="004403A6" w:rsidRPr="00DE0EFB" w:rsidRDefault="004403A6">
            <w:pPr>
              <w:suppressAutoHyphens/>
              <w:spacing w:after="0" w:line="240" w:lineRule="auto"/>
              <w:ind w:left="264"/>
              <w:rPr>
                <w:rFonts w:ascii="Calibri" w:eastAsia="Calibri" w:hAnsi="Calibri" w:cs="Calibri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F73C33E" w14:textId="77777777" w:rsidR="004403A6" w:rsidRPr="00DE0EFB" w:rsidRDefault="004403A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403A6" w:rsidRPr="00DE0EFB" w14:paraId="0000966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1059436" w14:textId="77777777" w:rsidR="004403A6" w:rsidRPr="00DE0EFB" w:rsidRDefault="00000000">
            <w:pPr>
              <w:suppressAutoHyphens/>
              <w:spacing w:after="0" w:line="240" w:lineRule="auto"/>
              <w:ind w:left="264"/>
            </w:pPr>
            <w:r w:rsidRPr="00DE0EFB">
              <w:rPr>
                <w:rFonts w:ascii="Times New Roman" w:eastAsia="Times New Roman" w:hAnsi="Times New Roman" w:cs="Times New Roman"/>
                <w:color w:val="080D12"/>
                <w:sz w:val="24"/>
              </w:rPr>
              <w:t>Support fee (Invoiced annually)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E139323" w14:textId="4FB5A694" w:rsidR="004403A6" w:rsidRPr="00DE0EFB" w:rsidRDefault="00DE0EFB">
            <w:pPr>
              <w:suppressAutoHyphens/>
              <w:spacing w:after="0" w:line="240" w:lineRule="auto"/>
              <w:jc w:val="center"/>
            </w:pPr>
            <w:r w:rsidRPr="00DE0EFB">
              <w:rPr>
                <w:rFonts w:ascii="Times New Roman" w:eastAsia="Times New Roman" w:hAnsi="Times New Roman" w:cs="Times New Roman"/>
                <w:color w:val="000000"/>
                <w:sz w:val="24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650</w:t>
            </w:r>
          </w:p>
        </w:tc>
      </w:tr>
    </w:tbl>
    <w:p w14:paraId="3196F4D1" w14:textId="77777777" w:rsidR="004403A6" w:rsidRPr="00DE0EFB" w:rsidRDefault="004403A6">
      <w:pPr>
        <w:suppressAutoHyphens/>
        <w:spacing w:after="0" w:line="276" w:lineRule="auto"/>
        <w:rPr>
          <w:rFonts w:ascii="Arial" w:eastAsia="Arial" w:hAnsi="Arial" w:cs="Arial"/>
          <w:color w:val="000000"/>
        </w:rPr>
      </w:pPr>
    </w:p>
    <w:p w14:paraId="073AB206" w14:textId="77777777" w:rsidR="004403A6" w:rsidRPr="00DE0EFB" w:rsidRDefault="004403A6">
      <w:pPr>
        <w:suppressAutoHyphens/>
        <w:spacing w:after="0" w:line="276" w:lineRule="auto"/>
        <w:rPr>
          <w:rFonts w:ascii="Arial" w:eastAsia="Arial" w:hAnsi="Arial" w:cs="Arial"/>
          <w:color w:val="000000"/>
        </w:rPr>
      </w:pPr>
    </w:p>
    <w:p w14:paraId="71CC4500" w14:textId="77777777" w:rsidR="004403A6" w:rsidRPr="00DE0EFB" w:rsidRDefault="00000000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A. Pricing is shown in U.S. dollars (USD) </w:t>
      </w:r>
    </w:p>
    <w:p w14:paraId="44801360" w14:textId="77777777" w:rsidR="004403A6" w:rsidRDefault="00000000">
      <w:pPr>
        <w:suppressAutoHyphens/>
        <w:spacing w:after="0" w:line="240" w:lineRule="auto"/>
        <w:ind w:left="182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B. Payment Terms are Net 30 days. </w:t>
      </w:r>
    </w:p>
    <w:p w14:paraId="32425D2F" w14:textId="77777777" w:rsidR="00DE0EFB" w:rsidRPr="00DE0EFB" w:rsidRDefault="00DE0EFB">
      <w:pPr>
        <w:suppressAutoHyphens/>
        <w:spacing w:after="0" w:line="240" w:lineRule="auto"/>
        <w:ind w:left="182"/>
        <w:rPr>
          <w:rFonts w:ascii="Times New Roman" w:eastAsia="Times New Roman" w:hAnsi="Times New Roman" w:cs="Times New Roman"/>
          <w:color w:val="000000"/>
          <w:sz w:val="24"/>
        </w:rPr>
      </w:pPr>
    </w:p>
    <w:p w14:paraId="007425D1" w14:textId="77777777" w:rsidR="004403A6" w:rsidRPr="00DE0EFB" w:rsidRDefault="00000000">
      <w:pPr>
        <w:suppressAutoHyphens/>
        <w:spacing w:before="12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VI. Payment: </w:t>
      </w:r>
    </w:p>
    <w:p w14:paraId="02DB7189" w14:textId="77777777" w:rsidR="004403A6" w:rsidRPr="00DE0EFB" w:rsidRDefault="00000000">
      <w:pPr>
        <w:suppressAutoHyphens/>
        <w:spacing w:after="0" w:line="240" w:lineRule="auto"/>
        <w:ind w:left="13" w:right="480" w:hanging="12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All payments by CUSTOMER shall be via PayPal or by ACH funds transfer after the receipt of all properly payable invoices or signed work completion forms. </w:t>
      </w:r>
    </w:p>
    <w:p w14:paraId="379F477F" w14:textId="77777777" w:rsidR="004403A6" w:rsidRPr="00DE0EFB" w:rsidRDefault="00000000">
      <w:pPr>
        <w:suppressAutoHyphens/>
        <w:spacing w:before="37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VII. Out of Scope: </w:t>
      </w:r>
    </w:p>
    <w:p w14:paraId="7486B759" w14:textId="77777777" w:rsidR="004403A6" w:rsidRPr="00DE0EFB" w:rsidRDefault="00000000">
      <w:pPr>
        <w:suppressAutoHyphens/>
        <w:spacing w:after="0" w:line="240" w:lineRule="auto"/>
        <w:ind w:left="15" w:right="764" w:firstLine="4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The following items have been determined to be specifically out-of-scope relative to this statement of work. They are identified to avoid confusion regarding what has been identified in the requirements definition process. </w:t>
      </w:r>
    </w:p>
    <w:p w14:paraId="6F34CB9D" w14:textId="171EEA60" w:rsidR="004403A6" w:rsidRPr="00DE0EFB" w:rsidRDefault="00000000" w:rsidP="00DE0EFB">
      <w:pPr>
        <w:pStyle w:val="ListParagraph"/>
        <w:numPr>
          <w:ilvl w:val="0"/>
          <w:numId w:val="2"/>
        </w:numPr>
        <w:suppressAutoHyphens/>
        <w:spacing w:before="141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Any written training documentation </w:t>
      </w:r>
    </w:p>
    <w:p w14:paraId="577430A8" w14:textId="573CDC8B" w:rsidR="004403A6" w:rsidRPr="00DE0EFB" w:rsidRDefault="00000000" w:rsidP="00DE0EFB">
      <w:pPr>
        <w:pStyle w:val="ListParagraph"/>
        <w:numPr>
          <w:ilvl w:val="0"/>
          <w:numId w:val="2"/>
        </w:numPr>
        <w:suppressAutoHyphens/>
        <w:spacing w:before="138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After-hours technical support </w:t>
      </w:r>
    </w:p>
    <w:p w14:paraId="1F7B8928" w14:textId="77777777" w:rsidR="004403A6" w:rsidRPr="00DE0EFB" w:rsidRDefault="00000000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sz w:val="24"/>
        </w:rPr>
      </w:pPr>
      <w:r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 WITNESS WHEREOF, </w:t>
      </w: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the parties hereto, each acting under due and proper authority, have caused this Agreement to be signed by their authorized representatives on the respective dates following their signatures below. </w:t>
      </w:r>
    </w:p>
    <w:p w14:paraId="61497B20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sz w:val="24"/>
        </w:rPr>
      </w:pPr>
    </w:p>
    <w:p w14:paraId="5B057249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sz w:val="24"/>
        </w:rPr>
      </w:pPr>
    </w:p>
    <w:p w14:paraId="7AFE376D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sz w:val="24"/>
        </w:rPr>
      </w:pPr>
    </w:p>
    <w:p w14:paraId="05A159CC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sz w:val="24"/>
        </w:rPr>
      </w:pPr>
    </w:p>
    <w:p w14:paraId="19FE8AB4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sz w:val="24"/>
        </w:rPr>
      </w:pPr>
    </w:p>
    <w:p w14:paraId="551BD995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sz w:val="24"/>
        </w:rPr>
      </w:pPr>
    </w:p>
    <w:p w14:paraId="2876F9D4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sz w:val="24"/>
        </w:rPr>
      </w:pPr>
    </w:p>
    <w:p w14:paraId="775B058A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sz w:val="24"/>
        </w:rPr>
      </w:pPr>
    </w:p>
    <w:p w14:paraId="79F082EE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sz w:val="24"/>
        </w:rPr>
      </w:pPr>
    </w:p>
    <w:p w14:paraId="1ADBD1C9" w14:textId="77777777" w:rsidR="004403A6" w:rsidRPr="00DE0EFB" w:rsidRDefault="00000000">
      <w:pPr>
        <w:suppressAutoHyphens/>
        <w:spacing w:before="137" w:after="0" w:line="240" w:lineRule="auto"/>
        <w:ind w:left="6" w:right="651" w:hanging="3"/>
        <w:jc w:val="center"/>
        <w:rPr>
          <w:rFonts w:ascii="Arial" w:eastAsia="Arial" w:hAnsi="Arial" w:cs="Arial"/>
        </w:rPr>
      </w:pPr>
      <w:r w:rsidRPr="00DE0EFB">
        <w:rPr>
          <w:rFonts w:ascii="Arial" w:eastAsia="Arial" w:hAnsi="Arial" w:cs="Arial"/>
        </w:rPr>
        <w:t>2</w:t>
      </w:r>
    </w:p>
    <w:p w14:paraId="7E0BC017" w14:textId="77777777" w:rsidR="004403A6" w:rsidRPr="00DE0EFB" w:rsidRDefault="004403A6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3D53BC7" w14:textId="68B43435" w:rsidR="004403A6" w:rsidRPr="00DE0EFB" w:rsidRDefault="00DE0EFB">
      <w:pPr>
        <w:suppressAutoHyphens/>
        <w:spacing w:before="137" w:after="0" w:line="240" w:lineRule="auto"/>
        <w:ind w:left="6" w:right="651" w:hanging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Customer </w:t>
      </w:r>
      <w:r w:rsidR="00000000"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</w:t>
      </w:r>
      <w:r w:rsidR="00000000" w:rsidRPr="00DE0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WipeOS LLC </w:t>
      </w:r>
    </w:p>
    <w:p w14:paraId="2E52A1A9" w14:textId="25CA2AA5" w:rsidR="00DE0EFB" w:rsidRDefault="00DE0EFB" w:rsidP="00DE0EFB">
      <w:pPr>
        <w:suppressAutoHyphens/>
        <w:spacing w:before="418" w:after="0" w:line="240" w:lineRule="auto"/>
        <w:ind w:left="743" w:right="1083" w:hanging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Name _________________________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</w:t>
      </w:r>
    </w:p>
    <w:p w14:paraId="1BC8414F" w14:textId="4A0EB995" w:rsidR="00DE0EFB" w:rsidRDefault="00DE0EFB">
      <w:pPr>
        <w:suppressAutoHyphens/>
        <w:spacing w:before="418" w:after="0" w:line="240" w:lineRule="auto"/>
        <w:ind w:left="743" w:right="1083" w:hanging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Title __________________________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</w:t>
      </w:r>
    </w:p>
    <w:p w14:paraId="23C27D86" w14:textId="50A8FF77" w:rsidR="00DE0EFB" w:rsidRPr="00DE0EFB" w:rsidRDefault="00DE0EFB" w:rsidP="00DE0EFB">
      <w:pPr>
        <w:suppressAutoHyphens/>
        <w:spacing w:before="418" w:after="0" w:line="240" w:lineRule="auto"/>
        <w:ind w:left="743" w:right="1083" w:hanging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Date __________________________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</w:t>
      </w:r>
    </w:p>
    <w:p w14:paraId="7D75B75E" w14:textId="77563C51" w:rsidR="00DE0EFB" w:rsidRPr="00DE0EFB" w:rsidRDefault="00DE0EFB">
      <w:pPr>
        <w:suppressAutoHyphens/>
        <w:spacing w:before="418" w:after="0" w:line="240" w:lineRule="auto"/>
        <w:ind w:left="743" w:right="1083" w:hanging="740"/>
        <w:rPr>
          <w:rFonts w:ascii="Times New Roman" w:eastAsia="Times New Roman" w:hAnsi="Times New Roman" w:cs="Times New Roman"/>
          <w:color w:val="000000"/>
          <w:sz w:val="24"/>
        </w:rPr>
      </w:pPr>
    </w:p>
    <w:p w14:paraId="4A3909FD" w14:textId="77777777" w:rsidR="004403A6" w:rsidRPr="00DE0EFB" w:rsidRDefault="004403A6">
      <w:pPr>
        <w:suppressAutoHyphens/>
        <w:spacing w:after="0" w:line="240" w:lineRule="auto"/>
        <w:ind w:right="1041"/>
        <w:rPr>
          <w:rFonts w:ascii="Times New Roman" w:eastAsia="Times New Roman" w:hAnsi="Times New Roman" w:cs="Times New Roman"/>
          <w:color w:val="000000"/>
          <w:sz w:val="24"/>
        </w:rPr>
      </w:pPr>
    </w:p>
    <w:p w14:paraId="0940FB57" w14:textId="77777777" w:rsidR="004403A6" w:rsidRPr="00DE0EFB" w:rsidRDefault="00000000">
      <w:pPr>
        <w:suppressAutoHyphens/>
        <w:spacing w:after="0" w:line="240" w:lineRule="auto"/>
        <w:ind w:right="1041"/>
        <w:rPr>
          <w:rFonts w:ascii="Times New Roman" w:eastAsia="Times New Roman" w:hAnsi="Times New Roman" w:cs="Times New Roman"/>
          <w:color w:val="000000"/>
          <w:sz w:val="24"/>
        </w:rPr>
      </w:pPr>
      <w:r w:rsidRPr="00DE0EFB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</w:p>
    <w:sectPr w:rsidR="004403A6" w:rsidRPr="00DE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7A"/>
    <w:multiLevelType w:val="hybridMultilevel"/>
    <w:tmpl w:val="FF8A11AE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B2F85"/>
    <w:multiLevelType w:val="hybridMultilevel"/>
    <w:tmpl w:val="41D633B4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904338043">
    <w:abstractNumId w:val="1"/>
  </w:num>
  <w:num w:numId="2" w16cid:durableId="51335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3A6"/>
    <w:rsid w:val="004403A6"/>
    <w:rsid w:val="00D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33BEB"/>
  <w15:docId w15:val="{452C6BBF-F8E5-4453-9C9D-95D4BD9C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2686</Characters>
  <Application>Microsoft Office Word</Application>
  <DocSecurity>0</DocSecurity>
  <Lines>92</Lines>
  <Paragraphs>53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Heal</cp:lastModifiedBy>
  <cp:revision>2</cp:revision>
  <dcterms:created xsi:type="dcterms:W3CDTF">2023-12-20T22:12:00Z</dcterms:created>
  <dcterms:modified xsi:type="dcterms:W3CDTF">2023-12-20T22:12:00Z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a2a78604ce86192521d81e63a13ae368af97578d5e6c519938dcdd779a86b1e7</vt:lpwstr>
  </property>
</Properties>
</file>